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3" w:rsidRPr="005E3FAC" w:rsidRDefault="00C747B3" w:rsidP="00C747B3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8F011D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1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. </w:t>
      </w:r>
      <w:r w:rsidRPr="000E0BA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Научно обоснованная рекомендация о включении (об исключении, отказе во включении) лекарственного препарата в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</w:t>
      </w:r>
      <w:r w:rsidRPr="000E0BA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еречни лекарственных препаратов для медицинского применения и минимальный ассортимент лекарственных препаратов, необходимых для оказания медицинской помощи </w:t>
      </w:r>
      <w:hyperlink w:anchor="Par2027" w:tooltip="&lt;*&gt; Рекомендации формируются с учетом заключений по результатам анализа методологического качества клинико-экономических исследований и анализа информации о сравнительной клинической эффективности и безопасности лекарственного препарата, оценки экономических п" w:history="1">
        <w:r w:rsidRPr="000E0BAA">
          <w:rPr>
            <w:rFonts w:ascii="Times New Roman" w:hAnsi="Times New Roman" w:cs="Times New Roman"/>
            <w:b/>
            <w:color w:val="1F4E79" w:themeColor="accent1" w:themeShade="80"/>
            <w:sz w:val="24"/>
            <w:szCs w:val="24"/>
          </w:rPr>
          <w:t>&lt;*&gt;</w:t>
        </w:r>
      </w:hyperlink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571"/>
      </w:tblGrid>
      <w:tr w:rsidR="00C747B3" w:rsidRPr="008F4510" w:rsidTr="008A1C17">
        <w:trPr>
          <w:jc w:val="center"/>
        </w:trPr>
        <w:tc>
          <w:tcPr>
            <w:tcW w:w="9571" w:type="dxa"/>
            <w:shd w:val="clear" w:color="auto" w:fill="FFF2CC" w:themeFill="accent4" w:themeFillTint="33"/>
          </w:tcPr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1. Наименование лекарственного препарата (международное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непатентованное, группировочное или химическое) _______</w:t>
            </w: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Pr="000A57E5">
              <w:rPr>
                <w:rFonts w:ascii="Times New Roman" w:hAnsi="Times New Roman" w:cs="Times New Roman"/>
              </w:rPr>
              <w:t>___________________.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2. Лекарственная форма лекарственного препарата 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0A57E5">
              <w:rPr>
                <w:rFonts w:ascii="Times New Roman" w:hAnsi="Times New Roman" w:cs="Times New Roman"/>
              </w:rPr>
              <w:t>_.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" w:name="Par1935"/>
            <w:bookmarkEnd w:id="1"/>
            <w:r w:rsidRPr="000A57E5">
              <w:rPr>
                <w:rFonts w:ascii="Times New Roman" w:hAnsi="Times New Roman" w:cs="Times New Roman"/>
              </w:rPr>
              <w:t>3. Настоящий документ касается материалов, представленных: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а) для включения лекарственного препарата: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 xml:space="preserve">еречень жизненно необходимых и важнейших лекарственных препаратов для медицинского применения (далее –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>еречень важнейших лекарственных препаратов);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 xml:space="preserve">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(далее –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>еречень дорогостоящих лекарственных препаратов);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 xml:space="preserve">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(далее –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>еречень лекарственных препаратов для обеспечения отдельных категорий граждан);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в минимальный ассортимент лекарственных препаратов, необходимых для оказания медицинской помощи (далее – минимальный ассортимент);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б) для исключения лекарственного препарата: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>еречня жизненно необходимых и важнейших лекарственных препаратов;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>еречня дорогостоящих лекарственных препаратов;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П</w:t>
            </w:r>
            <w:r w:rsidRPr="000A57E5">
              <w:rPr>
                <w:rFonts w:ascii="Times New Roman" w:hAnsi="Times New Roman" w:cs="Times New Roman"/>
              </w:rPr>
              <w:t>еречня лекарственных препаратов для обеспечения отдельных категорий граждан;</w:t>
            </w:r>
          </w:p>
          <w:p w:rsidR="00C747B3" w:rsidRPr="000A57E5" w:rsidRDefault="00C747B3" w:rsidP="00C747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из минимального ассортимента.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4. Заявленные показания для применения лекарственного препарата.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5. Обращение лекарственного препарата на рынке и наличие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(локализации) лекарственного препарата в Российской Федерации, включая: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а) время вывода лекарственного препарата на рынок в мире;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б) государственную регистрацию в Российской Федерации;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 xml:space="preserve">в) наличие производства воспроизведённых </w:t>
            </w:r>
            <w:r w:rsidRPr="006D5191">
              <w:rPr>
                <w:rFonts w:ascii="Times New Roman" w:hAnsi="Times New Roman" w:cs="Times New Roman"/>
              </w:rPr>
              <w:t>или биоподобных (биоаналоговых)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лекарственных препаратов.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6. Аналогичные лекарственные препараты в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анатомо-терапевтическо-химических групп, а также на основании показаний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применению, стандартов медицинской помощи и клинических рекомендаций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 xml:space="preserve">(протоколов лечения) и наличие воспроизведённых </w:t>
            </w:r>
            <w:r w:rsidRPr="006D5191">
              <w:rPr>
                <w:rFonts w:ascii="Times New Roman" w:hAnsi="Times New Roman" w:cs="Times New Roman"/>
              </w:rPr>
              <w:t>или биоподобных (биоаналоговых)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лекарственных препаратов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том числе российских).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7. Краткая сравнительная характеристика эффективности и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лекарственного препарата, а также особенности клинического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лекарственного препарата в сравнении с аналогами (клинические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пациентов, включая возрастные особенности и профиль безопасности и др.)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указанием итоговой оценки по результатам комплексной оценки (баллов).</w:t>
            </w:r>
          </w:p>
          <w:p w:rsidR="00C747B3" w:rsidRPr="000A57E5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8. Краткое клинико-экономическое сравнение предлагаемого лекарственного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препарата с аналогами (стоимость лекарственного препарата и курса лечения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по заявленным показаниям, сравнение затрат системы здравоохранения и др.)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указанием итоговой оценки по результатам комплексной оценки (баллов).</w:t>
            </w:r>
          </w:p>
          <w:p w:rsidR="00C747B3" w:rsidRPr="00C747B3" w:rsidRDefault="00C747B3" w:rsidP="00C747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57E5">
              <w:rPr>
                <w:rFonts w:ascii="Times New Roman" w:hAnsi="Times New Roman" w:cs="Times New Roman"/>
              </w:rPr>
              <w:t>9. Результаты методологического качества клинико-экономических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исследований и исследований с использованием анализа влияния на бюджеты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бюджетной системы Российской Федерации с указанием итоговой оценки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 xml:space="preserve">результатам комплексной оценки </w:t>
            </w:r>
            <w:r w:rsidRPr="006D5191">
              <w:rPr>
                <w:rFonts w:ascii="Times New Roman" w:hAnsi="Times New Roman" w:cs="Times New Roman"/>
              </w:rPr>
              <w:t xml:space="preserve">(удовлетворительное/неудовлетворительное), а также результаты оценки прочих данных по лекарственному препарату Центром экспертизы </w:t>
            </w:r>
            <w:r>
              <w:rPr>
                <w:rFonts w:ascii="Times New Roman" w:hAnsi="Times New Roman" w:cs="Times New Roman"/>
              </w:rPr>
              <w:t>(</w:t>
            </w:r>
            <w:r w:rsidRPr="000A57E5">
              <w:rPr>
                <w:rFonts w:ascii="Times New Roman" w:hAnsi="Times New Roman" w:cs="Times New Roman"/>
              </w:rPr>
              <w:t>баллов).</w:t>
            </w:r>
          </w:p>
        </w:tc>
      </w:tr>
      <w:tr w:rsidR="00C747B3" w:rsidRPr="008F4510" w:rsidTr="008A1C17">
        <w:trPr>
          <w:jc w:val="center"/>
        </w:trPr>
        <w:tc>
          <w:tcPr>
            <w:tcW w:w="9571" w:type="dxa"/>
            <w:shd w:val="clear" w:color="auto" w:fill="FFF2CC" w:themeFill="accent4" w:themeFillTint="33"/>
          </w:tcPr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2" w:name="Par1982"/>
            <w:bookmarkEnd w:id="2"/>
            <w:r w:rsidRPr="000A57E5">
              <w:rPr>
                <w:rFonts w:ascii="Times New Roman" w:hAnsi="Times New Roman" w:cs="Times New Roman"/>
              </w:rPr>
              <w:t xml:space="preserve">10. Целесообразность включения в </w:t>
            </w:r>
            <w:r w:rsidRPr="00D54058">
              <w:rPr>
                <w:rFonts w:ascii="Times New Roman" w:hAnsi="Times New Roman" w:cs="Times New Roman"/>
              </w:rPr>
              <w:t xml:space="preserve">указанные в </w:t>
            </w:r>
            <w:hyperlink w:anchor="Par1935" w:tooltip="    3. Настоящий документ касается материалов, представленных:" w:history="1">
              <w:r w:rsidRPr="00D54058">
                <w:rPr>
                  <w:rFonts w:ascii="Times New Roman" w:hAnsi="Times New Roman" w:cs="Times New Roman"/>
                </w:rPr>
                <w:t>пункте 3</w:t>
              </w:r>
            </w:hyperlink>
            <w:r w:rsidRPr="00D54058">
              <w:rPr>
                <w:rFonts w:ascii="Times New Roman" w:hAnsi="Times New Roman" w:cs="Times New Roman"/>
              </w:rPr>
              <w:t xml:space="preserve"> на</w:t>
            </w:r>
            <w:r w:rsidRPr="000A57E5">
              <w:rPr>
                <w:rFonts w:ascii="Times New Roman" w:hAnsi="Times New Roman" w:cs="Times New Roman"/>
              </w:rPr>
              <w:t>стоящего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документа перечни лекарственного препарата (в связи с наличием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клинических рекомендациях (протоколах лечения) и стандартах медицинской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помощи по соответствующим показаниям) с учётом рекомендуемой частоты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7E5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доставления по следующей форме:</w:t>
            </w:r>
          </w:p>
          <w:tbl>
            <w:tblPr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36"/>
              <w:gridCol w:w="1587"/>
              <w:gridCol w:w="1247"/>
            </w:tblGrid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Критерии оценки</w:t>
                  </w: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Результат оценки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Шкала оценки (баллов)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 w:val="restart"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Целесообразность включения (наличие лекарственного препарата в стандартах медицинской помощи) с учётом рекомендуемой частоты предоставления</w:t>
                  </w: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0,8 и выше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+3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0,6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D54058"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+2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0,4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D54058">
                    <w:rPr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+1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0,2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D54058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+0,5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ниже 0,2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+0,2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 w:val="restart"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Целесообразность включения (наличие лекарственного препарата в клинических рекомендациях (протоколах лечения)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D54058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+2</w:t>
                  </w:r>
                </w:p>
              </w:tc>
            </w:tr>
            <w:tr w:rsidR="00C747B3" w:rsidRPr="00D54058" w:rsidTr="008A1C17">
              <w:trPr>
                <w:jc w:val="center"/>
              </w:trPr>
              <w:tc>
                <w:tcPr>
                  <w:tcW w:w="6236" w:type="dxa"/>
                  <w:vMerge/>
                </w:tcPr>
                <w:p w:rsidR="00C747B3" w:rsidRPr="00D54058" w:rsidRDefault="00C747B3" w:rsidP="008A1C17">
                  <w:pPr>
                    <w:pStyle w:val="ConsPlusNormal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D54058"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1247" w:type="dxa"/>
                </w:tcPr>
                <w:p w:rsidR="00C747B3" w:rsidRPr="00D54058" w:rsidRDefault="00C747B3" w:rsidP="008A1C17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D54058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3" w:name="Par2009"/>
            <w:bookmarkEnd w:id="3"/>
            <w:r w:rsidRPr="00D54058">
              <w:rPr>
                <w:rFonts w:ascii="Times New Roman" w:hAnsi="Times New Roman" w:cs="Times New Roman"/>
              </w:rPr>
              <w:t>11. Замечания главного внештатного специалиста Министерства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здравоохранения Российской Федерации к результатам комплексной оценки (при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наличии).</w:t>
            </w:r>
          </w:p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058">
              <w:rPr>
                <w:rFonts w:ascii="Times New Roman" w:hAnsi="Times New Roman" w:cs="Times New Roman"/>
              </w:rPr>
              <w:t>12. Итоговые баллы с учётом результатов комплексной оценки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 xml:space="preserve">соответствии с </w:t>
            </w:r>
            <w:hyperlink w:anchor="Par1982" w:tooltip="    10.  Целесообразность  включения  в  указанные  в  пункте  3 настоящего" w:history="1">
              <w:r w:rsidRPr="00D54058">
                <w:rPr>
                  <w:rFonts w:ascii="Times New Roman" w:hAnsi="Times New Roman" w:cs="Times New Roman"/>
                </w:rPr>
                <w:t>пунктами 10</w:t>
              </w:r>
            </w:hyperlink>
            <w:r w:rsidRPr="00D54058">
              <w:rPr>
                <w:rFonts w:ascii="Times New Roman" w:hAnsi="Times New Roman" w:cs="Times New Roman"/>
              </w:rPr>
              <w:t xml:space="preserve"> и </w:t>
            </w:r>
            <w:hyperlink w:anchor="Par2009" w:tooltip="    11.    Замечания    главного   внештатного   специалиста   Министерства" w:history="1">
              <w:r w:rsidRPr="00D54058">
                <w:rPr>
                  <w:rFonts w:ascii="Times New Roman" w:hAnsi="Times New Roman" w:cs="Times New Roman"/>
                </w:rPr>
                <w:t>11</w:t>
              </w:r>
            </w:hyperlink>
            <w:r w:rsidRPr="00D54058">
              <w:rPr>
                <w:rFonts w:ascii="Times New Roman" w:hAnsi="Times New Roman" w:cs="Times New Roman"/>
              </w:rPr>
              <w:t xml:space="preserve"> настоящего документа.</w:t>
            </w:r>
          </w:p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058">
              <w:rPr>
                <w:rFonts w:ascii="Times New Roman" w:hAnsi="Times New Roman" w:cs="Times New Roman"/>
              </w:rPr>
              <w:t>13. Краткий вывод о целесообразности включения (исключения)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лекарственного препарата в перечни и минимальный ассортимент, указанные в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ar1935" w:tooltip="    3. Настоящий документ касается материалов, представленных:" w:history="1">
              <w:r w:rsidRPr="00D54058">
                <w:rPr>
                  <w:rFonts w:ascii="Times New Roman" w:hAnsi="Times New Roman" w:cs="Times New Roman"/>
                </w:rPr>
                <w:t>пункте 3</w:t>
              </w:r>
            </w:hyperlink>
            <w:r w:rsidRPr="00D54058">
              <w:rPr>
                <w:rFonts w:ascii="Times New Roman" w:hAnsi="Times New Roman" w:cs="Times New Roman"/>
              </w:rPr>
              <w:t xml:space="preserve"> настоящего документа.</w:t>
            </w:r>
          </w:p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058">
              <w:rPr>
                <w:rFonts w:ascii="Times New Roman" w:hAnsi="Times New Roman" w:cs="Times New Roman"/>
              </w:rPr>
              <w:t>14. Предложения по целесообразности исключения лекарственного препарата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 xml:space="preserve">из перечней и минимального ассортимента, указанных в </w:t>
            </w:r>
            <w:hyperlink w:anchor="Par1935" w:tooltip="    3. Настоящий документ касается материалов, представленных:" w:history="1">
              <w:r w:rsidRPr="00D54058">
                <w:rPr>
                  <w:rFonts w:ascii="Times New Roman" w:hAnsi="Times New Roman" w:cs="Times New Roman"/>
                </w:rPr>
                <w:t>пункте 3</w:t>
              </w:r>
            </w:hyperlink>
            <w:r w:rsidRPr="00D54058">
              <w:rPr>
                <w:rFonts w:ascii="Times New Roman" w:hAnsi="Times New Roman" w:cs="Times New Roman"/>
              </w:rPr>
              <w:t xml:space="preserve"> настоящего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документа, в рамках соответствующих анатомо-терапевтическо-химических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групп, в том числе лекарственных препаратов, имеющих аналогичные показания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к применен</w:t>
            </w:r>
            <w:r>
              <w:rPr>
                <w:rFonts w:ascii="Times New Roman" w:hAnsi="Times New Roman" w:cs="Times New Roman"/>
              </w:rPr>
              <w:t>ию.</w:t>
            </w:r>
          </w:p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058">
              <w:rPr>
                <w:rFonts w:ascii="Times New Roman" w:hAnsi="Times New Roman" w:cs="Times New Roman"/>
              </w:rPr>
              <w:t>___________________________________ ______________</w:t>
            </w:r>
          </w:p>
          <w:p w:rsidR="00C747B3" w:rsidRPr="00D54058" w:rsidRDefault="00C747B3" w:rsidP="008A1C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058">
              <w:rPr>
                <w:rFonts w:ascii="Times New Roman" w:hAnsi="Times New Roman" w:cs="Times New Roman"/>
              </w:rPr>
              <w:t xml:space="preserve"> подпись и расшифровка подписи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058">
              <w:rPr>
                <w:rFonts w:ascii="Times New Roman" w:hAnsi="Times New Roman" w:cs="Times New Roman"/>
              </w:rPr>
              <w:t>дата</w:t>
            </w:r>
          </w:p>
          <w:p w:rsidR="00C747B3" w:rsidRPr="00D54058" w:rsidRDefault="00C747B3" w:rsidP="008A1C1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  <w:p w:rsidR="00C747B3" w:rsidRPr="00D54058" w:rsidRDefault="00C747B3" w:rsidP="008A1C1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54058">
              <w:rPr>
                <w:sz w:val="20"/>
                <w:szCs w:val="20"/>
              </w:rPr>
              <w:t>--------------------------------</w:t>
            </w:r>
          </w:p>
          <w:p w:rsidR="00C747B3" w:rsidRPr="000A57E5" w:rsidRDefault="00C747B3" w:rsidP="008A1C17">
            <w:pPr>
              <w:pStyle w:val="ConsPlusNormal"/>
              <w:jc w:val="both"/>
              <w:rPr>
                <w:sz w:val="20"/>
                <w:szCs w:val="20"/>
              </w:rPr>
            </w:pPr>
            <w:bookmarkStart w:id="4" w:name="Par2027"/>
            <w:bookmarkEnd w:id="4"/>
            <w:r w:rsidRPr="00D54058">
              <w:rPr>
                <w:sz w:val="20"/>
                <w:szCs w:val="20"/>
              </w:rPr>
              <w:t xml:space="preserve">&lt;*&gt; Рекомендации формируются с учётом заключений по результатам анализа методологического качества клинико-экономических исследований и анализа информации о сравнительной клинической эффективности и безопасности лекарственного препарата, оценки экономических последствий его применения, изучения дополнительных последствий применения лекарственного препарата, приведённых в </w:t>
            </w:r>
            <w:hyperlink w:anchor="Par1422" w:tooltip="                                 ЗАКЛЮЧЕНИЕ" w:history="1">
              <w:r w:rsidRPr="00D54058">
                <w:rPr>
                  <w:sz w:val="20"/>
                  <w:szCs w:val="20"/>
                </w:rPr>
                <w:t>приложениях № 7</w:t>
              </w:r>
            </w:hyperlink>
            <w:r w:rsidRPr="00D54058">
              <w:rPr>
                <w:sz w:val="20"/>
                <w:szCs w:val="20"/>
              </w:rPr>
              <w:t xml:space="preserve"> и </w:t>
            </w:r>
            <w:hyperlink w:anchor="Par1643" w:tooltip="                                ЗАКЛЮЧЕНИЕ" w:history="1">
              <w:r w:rsidRPr="00D54058">
                <w:rPr>
                  <w:sz w:val="20"/>
                  <w:szCs w:val="20"/>
                </w:rPr>
                <w:t>8</w:t>
              </w:r>
            </w:hyperlink>
            <w:r w:rsidRPr="00D54058">
              <w:rPr>
                <w:sz w:val="20"/>
                <w:szCs w:val="20"/>
              </w:rPr>
              <w:t xml:space="preserve"> к Правилам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утверждённым постановлением Правительства Российской Федерации от 28 августа 2014 г. № 871.</w:t>
            </w:r>
          </w:p>
        </w:tc>
      </w:tr>
    </w:tbl>
    <w:p w:rsidR="00C747B3" w:rsidRPr="00C747B3" w:rsidRDefault="00C747B3" w:rsidP="00C747B3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32"/>
        </w:rPr>
      </w:pPr>
    </w:p>
    <w:sectPr w:rsidR="00C747B3" w:rsidRPr="00C747B3" w:rsidSect="00C747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6A"/>
    <w:multiLevelType w:val="hybridMultilevel"/>
    <w:tmpl w:val="D820BE92"/>
    <w:lvl w:ilvl="0" w:tplc="25EAFE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91AB6"/>
    <w:multiLevelType w:val="hybridMultilevel"/>
    <w:tmpl w:val="C792CDAC"/>
    <w:lvl w:ilvl="0" w:tplc="25EAF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F2"/>
    <w:rsid w:val="002A1DEF"/>
    <w:rsid w:val="004275F2"/>
    <w:rsid w:val="00501CBE"/>
    <w:rsid w:val="005B30D2"/>
    <w:rsid w:val="005B568E"/>
    <w:rsid w:val="009F1C1A"/>
    <w:rsid w:val="00AF224C"/>
    <w:rsid w:val="00C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7D85"/>
  <w15:chartTrackingRefBased/>
  <w15:docId w15:val="{E1EA3EAA-6997-463E-A66F-93A68B4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7B3"/>
    <w:pPr>
      <w:ind w:left="720"/>
      <w:contextualSpacing/>
    </w:pPr>
  </w:style>
  <w:style w:type="character" w:customStyle="1" w:styleId="ed">
    <w:name w:val="ed"/>
    <w:basedOn w:val="DefaultParagraphFont"/>
    <w:rsid w:val="00C747B3"/>
  </w:style>
  <w:style w:type="table" w:styleId="TableGrid">
    <w:name w:val="Table Grid"/>
    <w:basedOn w:val="TableNormal"/>
    <w:uiPriority w:val="39"/>
    <w:rsid w:val="00C7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4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4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4</cp:revision>
  <dcterms:created xsi:type="dcterms:W3CDTF">2019-11-28T11:31:00Z</dcterms:created>
  <dcterms:modified xsi:type="dcterms:W3CDTF">2020-01-27T05:24:00Z</dcterms:modified>
</cp:coreProperties>
</file>